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hd w:val="clear" w:color="auto" w:fill="FFFFFF"/>
        <w:adjustRightInd w:val="0"/>
        <w:snapToGrid w:val="0"/>
        <w:spacing w:before="0" w:beforeAutospacing="0" w:after="0" w:afterAutospacing="0" w:line="700" w:lineRule="exact"/>
        <w:jc w:val="center"/>
        <w:rPr>
          <w:rFonts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鄂州市地方金融工作局2023年部门预算公开说明</w:t>
      </w:r>
    </w:p>
    <w:p>
      <w:pPr>
        <w:pStyle w:val="5"/>
        <w:shd w:val="clear" w:color="auto" w:fill="FFFFFF"/>
        <w:adjustRightInd w:val="0"/>
        <w:snapToGrid w:val="0"/>
        <w:spacing w:before="0" w:beforeAutospacing="0" w:after="0" w:afterAutospacing="0" w:line="700" w:lineRule="exact"/>
        <w:jc w:val="center"/>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adjustRightInd w:val="0"/>
        <w:snapToGrid w:val="0"/>
        <w:spacing w:before="0" w:beforeAutospacing="0" w:after="0" w:afterAutospacing="0" w:line="700"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目  录</w:t>
      </w:r>
    </w:p>
    <w:p>
      <w:pPr>
        <w:pStyle w:val="5"/>
        <w:shd w:val="clear" w:color="auto" w:fill="FFFFFF"/>
        <w:adjustRightInd w:val="0"/>
        <w:snapToGrid w:val="0"/>
        <w:spacing w:before="0" w:beforeAutospacing="0" w:after="0" w:afterAutospacing="0" w:line="70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第一部分 鄂州市地方金融工作局概况</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一、主要职责</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二、机构设置情况及部门预算单位组成</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三、部门人员构成</w:t>
      </w:r>
    </w:p>
    <w:p>
      <w:pPr>
        <w:pStyle w:val="5"/>
        <w:shd w:val="clear" w:color="auto" w:fill="FFFFFF"/>
        <w:adjustRightInd w:val="0"/>
        <w:snapToGrid w:val="0"/>
        <w:spacing w:before="0" w:beforeAutospacing="0" w:after="0" w:afterAutospacing="0" w:line="700" w:lineRule="exact"/>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第二部分 鄂州市地方金融工作局202</w:t>
      </w:r>
      <w:r>
        <w:rPr>
          <w:rFonts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年部门预算安排情况说明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一、部门预算收支情况总体说明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二、部门预算收支增减变化情况说明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三、财政拨款收支情况说明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四、一般公共预算支出情况说明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五、一般公共预算基本支出情况说明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六、机关运行经费安排情况说明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七、国有资产占用情况说明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八、预算绩效情况（含重点项目预算的绩效目标）说明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九、政府采购安排情况说明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十、一般公共预算“三公”经费支出情况说明</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十一、政府性基金预算支出情况说明</w:t>
      </w:r>
    </w:p>
    <w:p>
      <w:pPr>
        <w:pStyle w:val="5"/>
        <w:shd w:val="clear" w:color="auto" w:fill="FFFFFF"/>
        <w:adjustRightInd w:val="0"/>
        <w:snapToGrid w:val="0"/>
        <w:spacing w:before="0" w:beforeAutospacing="0" w:after="0" w:afterAutospacing="0" w:line="700" w:lineRule="exact"/>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第三部分 名词解释</w:t>
      </w:r>
    </w:p>
    <w:p>
      <w:pPr>
        <w:pStyle w:val="5"/>
        <w:shd w:val="clear" w:color="auto" w:fill="FFFFFF"/>
        <w:adjustRightInd w:val="0"/>
        <w:snapToGrid w:val="0"/>
        <w:spacing w:before="0" w:beforeAutospacing="0" w:after="0" w:afterAutospacing="0" w:line="700" w:lineRule="exact"/>
        <w:rPr>
          <w:rFonts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第四部分 鄂州市地方金融工作局202</w:t>
      </w:r>
      <w:r>
        <w:rPr>
          <w:rFonts w:ascii="黑体" w:hAnsi="黑体" w:eastAsia="黑体" w:cs="黑体"/>
          <w:color w:val="000000" w:themeColor="text1"/>
          <w:sz w:val="32"/>
          <w:szCs w:val="32"/>
          <w14:textFill>
            <w14:solidFill>
              <w14:schemeClr w14:val="tx1"/>
            </w14:solidFill>
          </w14:textFill>
        </w:rPr>
        <w:t>3</w:t>
      </w:r>
      <w:r>
        <w:rPr>
          <w:rFonts w:hint="eastAsia" w:ascii="黑体" w:hAnsi="黑体" w:eastAsia="黑体" w:cs="黑体"/>
          <w:color w:val="000000" w:themeColor="text1"/>
          <w:sz w:val="32"/>
          <w:szCs w:val="32"/>
          <w14:textFill>
            <w14:solidFill>
              <w14:schemeClr w14:val="tx1"/>
            </w14:solidFill>
          </w14:textFill>
        </w:rPr>
        <w:t>年部门预算表</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一、部门收支预算总表</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二、部门收入预算总表</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三、部门支出预算总表</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四、财政拨款收支预算总表</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五、一般公共预算支出表</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六、一般公共预算基本支出表</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七、政府性基金预算支出表</w:t>
      </w:r>
    </w:p>
    <w:p>
      <w:pPr>
        <w:pStyle w:val="5"/>
        <w:shd w:val="clear" w:color="auto" w:fill="FFFFFF"/>
        <w:adjustRightInd w:val="0"/>
        <w:snapToGrid w:val="0"/>
        <w:spacing w:before="0" w:beforeAutospacing="0" w:after="0" w:afterAutospacing="0" w:line="70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八、财政拨款“三公”经费支出表</w:t>
      </w: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shd w:val="clear" w:color="auto" w:fill="FFFFFF"/>
        <w:spacing w:before="0" w:beforeAutospacing="0" w:after="0" w:afterAutospacing="0" w:line="480" w:lineRule="auto"/>
        <w:rPr>
          <w:rFonts w:ascii="仿宋_GB2312" w:hAnsi="仿宋_GB2312" w:eastAsia="仿宋_GB2312" w:cs="仿宋_GB2312"/>
          <w:color w:val="000000" w:themeColor="text1"/>
          <w:sz w:val="32"/>
          <w:szCs w:val="32"/>
          <w14:textFill>
            <w14:solidFill>
              <w14:schemeClr w14:val="tx1"/>
            </w14:solidFill>
          </w14:textFill>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一、部门基本情况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楷体_GB2312" w:hAnsi="楷体_GB2312" w:eastAsia="楷体_GB2312" w:cs="楷体_GB2312"/>
          <w:color w:val="000000" w:themeColor="text1"/>
          <w:sz w:val="32"/>
          <w:szCs w:val="32"/>
          <w14:textFill>
            <w14:solidFill>
              <w14:schemeClr w14:val="tx1"/>
            </w14:solidFill>
          </w14:textFill>
        </w:rPr>
        <w:t>（一）部门主要职责</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1.拟订促进金融服务全市经济社会发展的政策措施，组织开展政府与金融机构合作、金融机构和企业对接，引导金融机构加大对全市经济社会发展的支持力度。协调推进全市金融改革创新工作。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2.负责协调联络省级金融管理部门、金融机构驻鄂州分支机构，开展对外金融交流。</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协助配合省级金融管理部门驻鄂州分支机构整顿和规范全市金融秩序，建立金融突发事件应急处置机制，防范、化解、处置各类地方金融风险。配合省级金融管理部门驻鄂州分支机构协调推进互联网金融清理整治工作。协调落实市委、市政府防范和处置非法集资等非法金融的各项工作部署。</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4.根据相关规定制定小额贷款公司、融资担保公司、典当行、融资租赁公司等地方类金融机构和其他地方金融组织的相关监管政策措施并组织实施，对权限内的金融组织实施行政许可和日常监管，查处违法违规行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5.拟订全市多层次资本市场建设的相关政策措施、规划并组织实施。拟订推进企业上市的政策措施并组织实施，指导和推进企业改制上市等直接融资工作，负责全市上市后备资源培育工作。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6.会同有关部门加强全市信用环境建设，推进改善金融生态环境，推进全市金融知识宣传普及工作。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7.对全市各区政府地方金融工作进行业务指导，推进市区协同联动机制建设。参与、指导全市金融人才资源培育和队伍建设工作。</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8.完成上级交办的其他任务。</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楷体_GB2312" w:hAnsi="楷体_GB2312" w:eastAsia="楷体_GB2312" w:cs="楷体_GB2312"/>
          <w:color w:val="000000" w:themeColor="text1"/>
          <w:sz w:val="32"/>
          <w:szCs w:val="32"/>
          <w14:textFill>
            <w14:solidFill>
              <w14:schemeClr w14:val="tx1"/>
            </w14:solidFill>
          </w14:textFill>
        </w:rPr>
        <w:t>（二）机构设置情况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地方金融工作局内设机构共有5个,分别是办公室、金融一科、金融二科、金融三科、金融四科。</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（三）部门预算单位组成</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鄂州市地方金融工作局为行政单位，无二级单位。</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（四）部门人员构成</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行政编制13名，其中在职13人。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二、年度工作目标及主要任务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（一）强化金融要素保障，服务实体经济再发力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楷体_GB2312" w:hAnsi="楷体_GB2312" w:eastAsia="楷体_GB2312" w:cs="楷体_GB2312"/>
          <w:sz w:val="32"/>
          <w:szCs w:val="32"/>
        </w:rPr>
      </w:pPr>
      <w:r>
        <w:rPr>
          <w:rFonts w:hint="eastAsia" w:ascii="仿宋_GB2312" w:hAnsi="仿宋_GB2312" w:eastAsia="仿宋_GB2312" w:cs="仿宋_GB2312"/>
          <w:b/>
          <w:bCs/>
          <w:sz w:val="32"/>
          <w:szCs w:val="32"/>
        </w:rPr>
        <w:t>1.强化融资支持，助推企业发展</w:t>
      </w:r>
      <w:r>
        <w:rPr>
          <w:rFonts w:hint="eastAsia" w:ascii="仿宋_GB2312" w:hAnsi="仿宋_GB2312" w:eastAsia="仿宋_GB2312" w:cs="仿宋_GB2312"/>
          <w:sz w:val="32"/>
          <w:szCs w:val="32"/>
        </w:rPr>
        <w:t>。坚决把科技创新摆在发展全局的核心位置，加大科技创新领域、科创园区、技改项目金融支持力度，组织开展多轮投融资路演活动。争取成立市金融发展促进中心专业机构，为企业上市提供专业指导服务。积极运用绿色通道，帮助企业加快上市进程，力争</w:t>
      </w:r>
      <w:r>
        <w:rPr>
          <w:rFonts w:hint="eastAsia" w:ascii="Times New Roman" w:hAnsi="Times New Roman" w:eastAsia="仿宋_GB2312" w:cs="仿宋_GB2312"/>
          <w:sz w:val="32"/>
          <w:szCs w:val="32"/>
        </w:rPr>
        <w:t>杜肯新材料公司登陆深交所、兴欣科技公司登陆北交所。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宋体" w:cs="仿宋_GB2312"/>
          <w:kern w:val="0"/>
          <w:sz w:val="32"/>
          <w:szCs w:val="32"/>
        </w:rPr>
      </w:pPr>
      <w:r>
        <w:rPr>
          <w:rFonts w:hint="eastAsia" w:ascii="仿宋_GB2312" w:hAnsi="仿宋_GB2312" w:eastAsia="仿宋_GB2312" w:cs="仿宋_GB2312"/>
          <w:b/>
          <w:bCs/>
          <w:sz w:val="32"/>
          <w:szCs w:val="32"/>
        </w:rPr>
        <w:t>2.强化担保增信，降低融资成本</w:t>
      </w:r>
      <w:r>
        <w:rPr>
          <w:rFonts w:hint="eastAsia" w:ascii="仿宋_GB2312" w:hAnsi="仿宋_GB2312" w:eastAsia="仿宋_GB2312" w:cs="仿宋_GB2312"/>
          <w:sz w:val="32"/>
          <w:szCs w:val="32"/>
        </w:rPr>
        <w:t>。落实落细稳经济一揽子政策及接续政策，发挥政府性融资担保逆周期调节作用，进一步</w:t>
      </w:r>
      <w:r>
        <w:rPr>
          <w:rFonts w:hint="eastAsia" w:ascii="仿宋_GB2312" w:hAnsi="仿宋_GB2312" w:eastAsia="仿宋_GB2312" w:cs="仿宋_GB2312"/>
          <w:kern w:val="0"/>
          <w:sz w:val="32"/>
          <w:szCs w:val="32"/>
        </w:rPr>
        <w:t>扩大政策覆盖面，保持降低费率水平，将融资担保业务平均费率降至1%，</w:t>
      </w:r>
      <w:r>
        <w:rPr>
          <w:rFonts w:hint="eastAsia" w:ascii="仿宋_GB2312" w:hAnsi="仿宋_GB2312" w:eastAsia="仿宋_GB2312" w:cs="仿宋_GB2312"/>
          <w:bCs/>
          <w:sz w:val="32"/>
          <w:szCs w:val="32"/>
        </w:rPr>
        <w:t>积极</w:t>
      </w:r>
      <w:r>
        <w:rPr>
          <w:rFonts w:hint="eastAsia" w:ascii="仿宋_GB2312" w:hAnsi="仿宋_GB2312" w:eastAsia="仿宋_GB2312" w:cs="仿宋_GB2312"/>
          <w:kern w:val="0"/>
          <w:sz w:val="32"/>
          <w:szCs w:val="32"/>
        </w:rPr>
        <w:t>落实“四补”机制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保障政府性融资担保体系持续健康发展，</w:t>
      </w:r>
      <w:r>
        <w:rPr>
          <w:rFonts w:hint="eastAsia" w:ascii="仿宋_GB2312" w:hAnsi="仿宋_GB2312" w:eastAsia="仿宋_GB2312" w:cs="仿宋_GB2312"/>
          <w:sz w:val="32"/>
          <w:szCs w:val="32"/>
        </w:rPr>
        <w:t>力争2023年末在保余额达到16亿元。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3.强化科技赋能，做实融资平台</w:t>
      </w:r>
      <w:r>
        <w:rPr>
          <w:rFonts w:hint="eastAsia" w:ascii="仿宋_GB2312" w:hAnsi="仿宋_GB2312" w:eastAsia="仿宋_GB2312" w:cs="仿宋_GB2312"/>
          <w:sz w:val="32"/>
          <w:szCs w:val="32"/>
        </w:rPr>
        <w:t>。对市中小企业融资平台进行优化升级，增加秒授信、网上审批、第三方评价、投诉举报等模块，与银行APP直接连通，实现三板、四板挂牌奖励、贷款贴息线上申报审批，建立第三方评估机制，企业线上对金融机构服务质量进行打分、提出意见建议，不断提升企业获得信贷便利度，优化金融营商环境。</w:t>
      </w:r>
    </w:p>
    <w:p>
      <w:pPr>
        <w:pStyle w:val="2"/>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4.强化资源整合，打通融资堵点</w:t>
      </w:r>
      <w:r>
        <w:rPr>
          <w:rFonts w:hint="eastAsia" w:ascii="仿宋_GB2312" w:hAnsi="仿宋_GB2312" w:eastAsia="仿宋_GB2312" w:cs="仿宋_GB2312"/>
          <w:sz w:val="32"/>
          <w:szCs w:val="32"/>
        </w:rPr>
        <w:t>。针对当前授信转化率较低的情况，统筹整合贷款主体融资需求，促进信贷精准对接、精准投放。建立全市授信转化工作台账，针对性开展专项行动，及时疏通信贷投放堵点难点。完善行业规范，抵制变相降低贷款条件、恶性降价等争揽客户的恶性竞争行为，营造公平有序的市场竞争环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楷体_GB2312" w:hAnsi="楷体_GB2312" w:eastAsia="楷体_GB2312" w:cs="楷体_GB2312"/>
          <w:sz w:val="32"/>
          <w:szCs w:val="32"/>
        </w:rPr>
      </w:pPr>
      <w:r>
        <w:rPr>
          <w:rFonts w:hint="eastAsia" w:ascii="楷体_GB2312" w:hAnsi="楷体_GB2312" w:eastAsia="楷体_GB2312" w:cs="楷体_GB2312"/>
          <w:b/>
          <w:bCs/>
          <w:sz w:val="32"/>
          <w:szCs w:val="32"/>
        </w:rPr>
        <w:t>（二）优化金融监管体系，风险防控底线再夯实</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1.优化宣传教育，提升金融素养</w:t>
      </w:r>
      <w:r>
        <w:rPr>
          <w:rFonts w:hint="eastAsia" w:ascii="仿宋_GB2312" w:hAnsi="仿宋_GB2312" w:eastAsia="仿宋_GB2312" w:cs="仿宋_GB2312"/>
          <w:sz w:val="32"/>
          <w:szCs w:val="32"/>
        </w:rPr>
        <w:t>。根据金融诈骗、非法集资犯罪等活动的特点和表现形式，常态化开展防范金融风险宣传教育，提高公众防范能力。继续开展非法集资宣传月集中宣传、金融公益宣讲专员进社区等宣传活动的同时，不断创新宣传方式，用好抖音短视频、卡通动漫短视频等群众喜闻乐见的宣传方式，提升宣传效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2.优化信贷结构，压降不良贷款</w:t>
      </w:r>
      <w:r>
        <w:rPr>
          <w:rFonts w:hint="eastAsia" w:ascii="仿宋_GB2312" w:hAnsi="仿宋_GB2312" w:eastAsia="仿宋_GB2312" w:cs="仿宋_GB2312"/>
          <w:sz w:val="32"/>
          <w:szCs w:val="32"/>
        </w:rPr>
        <w:t>。指导和督促鄂州农商银行利用政策工具发展支农支小业务，加大表内外不良贷款处置力度，加强延期贷款管控力度，加快转型发展，落实大额不良贷款包户清收措施，不断降低不良贷款率，实现贷款结构优化与贷款规模增长同步提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3.优化金融监管，推进陈案处置</w:t>
      </w:r>
      <w:r>
        <w:rPr>
          <w:rFonts w:hint="eastAsia" w:ascii="仿宋_GB2312" w:hAnsi="仿宋_GB2312" w:eastAsia="仿宋_GB2312" w:cs="仿宋_GB2312"/>
          <w:sz w:val="32"/>
          <w:szCs w:val="32"/>
        </w:rPr>
        <w:t>。继续做好全市各行业领域金融风险排查工作，重点加强投资理财、非融资性担保等高发重点领域以及农民专业合作社、养老机构、私募基金等新风险点的排查监控，实现风险隐患打早、打小。推动陈案处置化解，力争在2023年底全部实现终本，协调做好涉众金融案件投资受损群体稳定工作，防止群体性事件发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（三）深化金融服务创新，金融改革创新再突破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1.深化普惠金融，助力乡村振兴</w:t>
      </w:r>
      <w:r>
        <w:rPr>
          <w:rFonts w:hint="eastAsia" w:ascii="仿宋_GB2312" w:hAnsi="仿宋_GB2312" w:eastAsia="仿宋_GB2312" w:cs="仿宋_GB2312"/>
          <w:sz w:val="32"/>
          <w:szCs w:val="32"/>
        </w:rPr>
        <w:t>。不断完善农村地区金融基础设施建设，推进农村现金服务示范区和现金服务工作站建设，为农村群众提供便利性服务</w:t>
      </w:r>
      <w:r>
        <w:rPr>
          <w:rFonts w:hint="eastAsia" w:ascii="仿宋_GB2312" w:hAnsi="仿宋_GB2312" w:cs="仿宋_GB2312"/>
          <w:sz w:val="32"/>
          <w:szCs w:val="32"/>
        </w:rPr>
        <w:t>。</w:t>
      </w:r>
      <w:r>
        <w:rPr>
          <w:rFonts w:hint="eastAsia" w:ascii="仿宋_GB2312" w:hAnsi="仿宋_GB2312" w:eastAsia="仿宋_GB2312" w:cs="仿宋_GB2312"/>
          <w:bCs/>
          <w:sz w:val="32"/>
          <w:szCs w:val="32"/>
        </w:rPr>
        <w:t>推进农村土地承包经营权抵押贷款，支持农村集体经营性建设用地使用权、农民宅基地抵押贷款业务，推动开展大型农机具抵押、林权抵押等信贷业务，盘活农村存量资产。大力开展“整村授信”，缓解农民贷款难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2.深化绿色金融，服务产业升级</w:t>
      </w:r>
      <w:r>
        <w:rPr>
          <w:rFonts w:hint="eastAsia" w:ascii="仿宋_GB2312" w:hAnsi="仿宋_GB2312" w:eastAsia="仿宋_GB2312" w:cs="仿宋_GB2312"/>
          <w:sz w:val="32"/>
          <w:szCs w:val="32"/>
        </w:rPr>
        <w:t>。积极推进生态价值实现机制改革，探索生态价值评估、融资的相关路径。鼓励银行机构围绕生态价值工程、碳市场交易、排污权交易等重点领域进行融资方式创新。引导金融机构围绕我市“技改提能、制造焕新”三年行动，主动对接电力、钢铁、水泥、建材等节能降碳技改项目，为企业提供技改资金，推动工业绿色转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3.深化人才建设，筑牢发展基石</w:t>
      </w:r>
      <w:r>
        <w:rPr>
          <w:rFonts w:hint="eastAsia" w:ascii="仿宋_GB2312" w:hAnsi="仿宋_GB2312" w:eastAsia="仿宋_GB2312" w:cs="仿宋_GB2312"/>
          <w:sz w:val="32"/>
          <w:szCs w:val="32"/>
        </w:rPr>
        <w:t>。加强与省级金融机构的密切联系，争取组织部门大力支持，继续选派优秀金融干部到我市挂职，积极寻访、对接金融领域高层次人才，2023年计划组织4场金融人才对接会，开展2期金融干部能力提升培训班，选派金融系统干部赴上海、浙江等地学习，为我市金融服务实体经济和深化金融改革贡献金融人才力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三、部门收支预算总体安排情况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（一）2023年部门预算总收入912.98万元。其中：一般公共预算财政拨款收入912.98万元，比2022年预算减少150.07万元。主要原因：根据工作实际情况，政府性基金项目删减。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年部门预算总支出912.98万元。其中：人员类项目支出285.04万元，公用经费支出42.94万元,特定目标类项目支出585万元。比202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年预算减少150.07万元。主要原因：根据工作实际情况，政府性基金项目删减。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按照支出功能分类科目，主要用于：金融支出834.09万元；住房保障支出24.74万元；社会保障和就业支出24.67万元；卫生健康支出29.48万元。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按照支出经济分类科目，主要用于:基本支出327.98万元，项目支出585万元。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　四、一般公共预算财政拨款支出预算情况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2023年一般公共预算财政拨款支出预算912.98万元，其中：当年预算912.98万元；上年结转0万元。主要安排情况如下：</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（一）基本支出327.98万元。其中：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1.人员经费285.04万元，包括:（1）工资福利支出285.04万元，包括养老保险16.74万元，工资性支出155.21万元，住房公积金18.63万元，医疗保险9.73万元，医疗补助5.23万元。（2）对个人和家庭的补助支出0万元。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2.公用经费42.94万元，包括：办公费3万元，印刷费0.5万元，水费0.5万元，电费0.5万元，差旅费1万元，会议费1万元，公务接待费1万元，工会经费8.12万元，福利费11.87万元，其他交通费用11.94万元。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（二）项目支出585万元。主要用于：地方金融改革发展专项175万元；企业上市奖励资金410万元。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五、一般公共预算“三公”经费支出预算情况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年一般公共预算财政拨款资金安排“三公”经费预算1</w:t>
      </w:r>
      <w:r>
        <w:rPr>
          <w:rFonts w:hint="eastAsia" w:ascii="仿宋_GB2312" w:hAnsi="仿宋_GB2312" w:eastAsia="仿宋_GB2312" w:cs="仿宋_GB2312"/>
          <w:color w:val="000000" w:themeColor="text1"/>
          <w:sz w:val="32"/>
          <w:szCs w:val="32"/>
          <w:lang w:eastAsia="zh-CN"/>
          <w14:textFill>
            <w14:solidFill>
              <w14:schemeClr w14:val="tx1"/>
            </w14:solidFill>
          </w14:textFill>
        </w:rPr>
        <w:t>万</w:t>
      </w:r>
      <w:r>
        <w:rPr>
          <w:rFonts w:hint="eastAsia" w:ascii="仿宋_GB2312" w:hAnsi="仿宋_GB2312" w:eastAsia="仿宋_GB2312" w:cs="仿宋_GB2312"/>
          <w:color w:val="000000" w:themeColor="text1"/>
          <w:sz w:val="32"/>
          <w:szCs w:val="32"/>
          <w14:textFill>
            <w14:solidFill>
              <w14:schemeClr w14:val="tx1"/>
            </w14:solidFill>
          </w14:textFill>
        </w:rPr>
        <w:t>元，与2021年预算相比减少0.5万元，减幅33.3%。其中：</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（一）因公出国（境）费预算0万元，与去年一致。主要原因是：今年无因公出国。</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（二）公务接待费预算1万元，与2021年预算相比减少0.5万，减幅33.3%。主要原因是：2023年我局计划缩减公务接待开支比例。</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（三）公务用车购置及运行维护费0万元。与去年一致。主要原因是：公车改革所有公车所有权为机关事务管理局，2021</w:t>
      </w:r>
      <w:r>
        <w:rPr>
          <w:rFonts w:hint="eastAsia" w:ascii="仿宋_GB2312" w:hAnsi="仿宋_GB2312" w:eastAsia="仿宋_GB2312" w:cs="仿宋_GB2312"/>
          <w:color w:val="000000" w:themeColor="text1"/>
          <w:sz w:val="32"/>
          <w:szCs w:val="32"/>
          <w:lang w:eastAsia="zh-CN"/>
          <w14:textFill>
            <w14:solidFill>
              <w14:schemeClr w14:val="tx1"/>
            </w14:solidFill>
          </w14:textFill>
        </w:rPr>
        <w:t>年以后</w:t>
      </w:r>
      <w:r>
        <w:rPr>
          <w:rFonts w:hint="eastAsia" w:ascii="仿宋_GB2312" w:hAnsi="仿宋_GB2312" w:eastAsia="仿宋_GB2312" w:cs="仿宋_GB2312"/>
          <w:color w:val="000000" w:themeColor="text1"/>
          <w:sz w:val="32"/>
          <w:szCs w:val="32"/>
          <w14:textFill>
            <w14:solidFill>
              <w14:schemeClr w14:val="tx1"/>
            </w14:solidFill>
          </w14:textFill>
        </w:rPr>
        <w:t>公务用车所有支出由机关事务管理局承担，本局只有使用权。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六、政府性基金预算财政拨款支岀预算情况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2023年政府性基金预算0万。</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七、其他重要事项的情况说明</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（一）机关运行经费情况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年部门机关运行经费</w:t>
      </w:r>
      <w:r>
        <w:rPr>
          <w:rFonts w:ascii="仿宋_GB2312" w:hAnsi="仿宋_GB2312" w:eastAsia="仿宋_GB2312" w:cs="仿宋_GB2312"/>
          <w:color w:val="000000" w:themeColor="text1"/>
          <w:sz w:val="32"/>
          <w:szCs w:val="32"/>
          <w14:textFill>
            <w14:solidFill>
              <w14:schemeClr w14:val="tx1"/>
            </w14:solidFill>
          </w14:textFill>
        </w:rPr>
        <w:t>42.94</w:t>
      </w:r>
      <w:r>
        <w:rPr>
          <w:rFonts w:hint="eastAsia" w:ascii="仿宋_GB2312" w:hAnsi="仿宋_GB2312" w:eastAsia="仿宋_GB2312" w:cs="仿宋_GB2312"/>
          <w:color w:val="000000" w:themeColor="text1"/>
          <w:sz w:val="32"/>
          <w:szCs w:val="32"/>
          <w14:textFill>
            <w14:solidFill>
              <w14:schemeClr w14:val="tx1"/>
            </w14:solidFill>
          </w14:textFill>
        </w:rPr>
        <w:t>万元。主要包括：办公费、印刷费、水电费、物业费、差旅费、会议费、培训费、公务接待费、工会经费、福利费及其他交通费等。</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B0F0"/>
          <w:sz w:val="32"/>
          <w:szCs w:val="32"/>
        </w:rPr>
        <w:t>　</w:t>
      </w:r>
      <w:r>
        <w:rPr>
          <w:rFonts w:hint="eastAsia" w:ascii="楷体_GB2312" w:hAnsi="楷体_GB2312" w:eastAsia="楷体_GB2312" w:cs="楷体_GB2312"/>
          <w:color w:val="000000" w:themeColor="text1"/>
          <w:sz w:val="32"/>
          <w:szCs w:val="32"/>
          <w14:textFill>
            <w14:solidFill>
              <w14:schemeClr w14:val="tx1"/>
            </w14:solidFill>
          </w14:textFill>
        </w:rPr>
        <w:t>　（二）政府采购预算情况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按照现行政府采购管理规定，202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年部门预算中纳入政府采购预算支出合计</w:t>
      </w:r>
      <w:r>
        <w:rPr>
          <w:rFonts w:ascii="仿宋_GB2312" w:hAnsi="仿宋_GB2312" w:eastAsia="仿宋_GB2312" w:cs="仿宋_GB2312"/>
          <w:color w:val="000000" w:themeColor="text1"/>
          <w:sz w:val="32"/>
          <w:szCs w:val="32"/>
          <w14:textFill>
            <w14:solidFill>
              <w14:schemeClr w14:val="tx1"/>
            </w14:solidFill>
          </w14:textFill>
        </w:rPr>
        <w:t>8.8</w:t>
      </w:r>
      <w:r>
        <w:rPr>
          <w:rFonts w:hint="eastAsia" w:ascii="仿宋_GB2312" w:hAnsi="仿宋_GB2312" w:eastAsia="仿宋_GB2312" w:cs="仿宋_GB2312"/>
          <w:color w:val="000000" w:themeColor="text1"/>
          <w:sz w:val="32"/>
          <w:szCs w:val="32"/>
          <w14:textFill>
            <w14:solidFill>
              <w14:schemeClr w14:val="tx1"/>
            </w14:solidFill>
          </w14:textFill>
        </w:rPr>
        <w:t>万元。包括货物类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14:textFill>
            <w14:solidFill>
              <w14:schemeClr w14:val="tx1"/>
            </w14:solidFill>
          </w14:textFill>
        </w:rPr>
        <w:t>万元。其中:设备</w:t>
      </w:r>
      <w:r>
        <w:rPr>
          <w:rFonts w:ascii="仿宋_GB2312" w:hAnsi="仿宋_GB2312" w:eastAsia="仿宋_GB2312" w:cs="仿宋_GB2312"/>
          <w:color w:val="000000" w:themeColor="text1"/>
          <w:sz w:val="32"/>
          <w:szCs w:val="32"/>
          <w14:textFill>
            <w14:solidFill>
              <w14:schemeClr w14:val="tx1"/>
            </w14:solidFill>
          </w14:textFill>
        </w:rPr>
        <w:t>8.8</w:t>
      </w:r>
      <w:r>
        <w:rPr>
          <w:rFonts w:hint="eastAsia" w:ascii="仿宋_GB2312" w:hAnsi="仿宋_GB2312" w:eastAsia="仿宋_GB2312" w:cs="仿宋_GB2312"/>
          <w:color w:val="000000" w:themeColor="text1"/>
          <w:sz w:val="32"/>
          <w:szCs w:val="32"/>
          <w14:textFill>
            <w14:solidFill>
              <w14:schemeClr w14:val="tx1"/>
            </w14:solidFill>
          </w14:textFill>
        </w:rPr>
        <w:t>万元。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楷体_GB2312" w:hAnsi="楷体_GB2312" w:eastAsia="楷体_GB2312" w:cs="楷体_GB2312"/>
          <w:color w:val="000000" w:themeColor="text1"/>
          <w:sz w:val="32"/>
          <w:szCs w:val="32"/>
          <w14:textFill>
            <w14:solidFill>
              <w14:schemeClr w14:val="tx1"/>
            </w14:solidFill>
          </w14:textFill>
        </w:rPr>
        <w:t>（三）国有资产占有使用情况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202</w:t>
      </w:r>
      <w:r>
        <w:rPr>
          <w:rFonts w:ascii="仿宋_GB2312" w:hAnsi="仿宋_GB2312" w:eastAsia="仿宋_GB2312" w:cs="仿宋_GB2312"/>
          <w:color w:val="000000" w:themeColor="text1"/>
          <w:sz w:val="32"/>
          <w:szCs w:val="32"/>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年初鄂州市地方金融工作局国有资产共</w:t>
      </w:r>
      <w:r>
        <w:rPr>
          <w:rFonts w:ascii="仿宋_GB2312" w:hAnsi="仿宋_GB2312" w:eastAsia="仿宋_GB2312" w:cs="仿宋_GB2312"/>
          <w:color w:val="000000" w:themeColor="text1"/>
          <w:sz w:val="32"/>
          <w:szCs w:val="32"/>
          <w14:textFill>
            <w14:solidFill>
              <w14:schemeClr w14:val="tx1"/>
            </w14:solidFill>
          </w14:textFill>
        </w:rPr>
        <w:t>39.65</w:t>
      </w:r>
      <w:r>
        <w:rPr>
          <w:rFonts w:hint="eastAsia" w:ascii="仿宋_GB2312" w:hAnsi="仿宋_GB2312" w:eastAsia="仿宋_GB2312" w:cs="仿宋_GB2312"/>
          <w:color w:val="000000" w:themeColor="text1"/>
          <w:sz w:val="32"/>
          <w:szCs w:val="32"/>
          <w14:textFill>
            <w14:solidFill>
              <w14:schemeClr w14:val="tx1"/>
            </w14:solidFill>
          </w14:textFill>
        </w:rPr>
        <w:t>万元，其中专业设备1件，价值0.5</w:t>
      </w:r>
      <w:r>
        <w:rPr>
          <w:rFonts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万元；通用设备</w:t>
      </w:r>
      <w:r>
        <w:rPr>
          <w:rFonts w:ascii="仿宋_GB2312" w:hAnsi="仿宋_GB2312" w:eastAsia="仿宋_GB2312" w:cs="仿宋_GB2312"/>
          <w:color w:val="000000" w:themeColor="text1"/>
          <w:sz w:val="32"/>
          <w:szCs w:val="32"/>
          <w14:textFill>
            <w14:solidFill>
              <w14:schemeClr w14:val="tx1"/>
            </w14:solidFill>
          </w14:textFill>
        </w:rPr>
        <w:t>36</w:t>
      </w:r>
      <w:r>
        <w:rPr>
          <w:rFonts w:hint="eastAsia" w:ascii="仿宋_GB2312" w:hAnsi="仿宋_GB2312" w:eastAsia="仿宋_GB2312" w:cs="仿宋_GB2312"/>
          <w:color w:val="000000" w:themeColor="text1"/>
          <w:sz w:val="32"/>
          <w:szCs w:val="32"/>
          <w14:textFill>
            <w14:solidFill>
              <w14:schemeClr w14:val="tx1"/>
            </w14:solidFill>
          </w14:textFill>
        </w:rPr>
        <w:t>件，总价值</w:t>
      </w:r>
      <w:r>
        <w:rPr>
          <w:rFonts w:ascii="仿宋_GB2312" w:hAnsi="仿宋_GB2312" w:eastAsia="仿宋_GB2312" w:cs="仿宋_GB2312"/>
          <w:color w:val="000000" w:themeColor="text1"/>
          <w:sz w:val="32"/>
          <w:szCs w:val="32"/>
          <w14:textFill>
            <w14:solidFill>
              <w14:schemeClr w14:val="tx1"/>
            </w14:solidFill>
          </w14:textFill>
        </w:rPr>
        <w:t>33.73</w:t>
      </w:r>
      <w:r>
        <w:rPr>
          <w:rFonts w:hint="eastAsia" w:ascii="仿宋_GB2312" w:hAnsi="仿宋_GB2312" w:eastAsia="仿宋_GB2312" w:cs="仿宋_GB2312"/>
          <w:color w:val="000000" w:themeColor="text1"/>
          <w:sz w:val="32"/>
          <w:szCs w:val="32"/>
          <w14:textFill>
            <w14:solidFill>
              <w14:schemeClr w14:val="tx1"/>
            </w14:solidFill>
          </w14:textFill>
        </w:rPr>
        <w:t>万元；办公家具</w:t>
      </w:r>
      <w:r>
        <w:rPr>
          <w:rFonts w:ascii="仿宋_GB2312" w:hAnsi="仿宋_GB2312" w:eastAsia="仿宋_GB2312" w:cs="仿宋_GB2312"/>
          <w:color w:val="000000" w:themeColor="text1"/>
          <w:sz w:val="32"/>
          <w:szCs w:val="32"/>
          <w14:textFill>
            <w14:solidFill>
              <w14:schemeClr w14:val="tx1"/>
            </w14:solidFill>
          </w14:textFill>
        </w:rPr>
        <w:t>50</w:t>
      </w:r>
      <w:r>
        <w:rPr>
          <w:rFonts w:hint="eastAsia" w:ascii="仿宋_GB2312" w:hAnsi="仿宋_GB2312" w:eastAsia="仿宋_GB2312" w:cs="仿宋_GB2312"/>
          <w:color w:val="000000" w:themeColor="text1"/>
          <w:sz w:val="32"/>
          <w:szCs w:val="32"/>
          <w14:textFill>
            <w14:solidFill>
              <w14:schemeClr w14:val="tx1"/>
            </w14:solidFill>
          </w14:textFill>
        </w:rPr>
        <w:t>件，价值</w:t>
      </w:r>
      <w:r>
        <w:rPr>
          <w:rFonts w:ascii="仿宋_GB2312" w:hAnsi="仿宋_GB2312" w:eastAsia="仿宋_GB2312" w:cs="仿宋_GB2312"/>
          <w:color w:val="000000" w:themeColor="text1"/>
          <w:sz w:val="32"/>
          <w:szCs w:val="32"/>
          <w14:textFill>
            <w14:solidFill>
              <w14:schemeClr w14:val="tx1"/>
            </w14:solidFill>
          </w14:textFill>
        </w:rPr>
        <w:t>5.4</w:t>
      </w:r>
      <w:r>
        <w:rPr>
          <w:rFonts w:hint="eastAsia" w:ascii="仿宋_GB2312" w:hAnsi="仿宋_GB2312" w:eastAsia="仿宋_GB2312" w:cs="仿宋_GB2312"/>
          <w:color w:val="000000" w:themeColor="text1"/>
          <w:sz w:val="32"/>
          <w:szCs w:val="32"/>
          <w14:textFill>
            <w14:solidFill>
              <w14:schemeClr w14:val="tx1"/>
            </w14:solidFill>
          </w14:textFill>
        </w:rPr>
        <w:t>万元。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（四）绩效目标设置情况</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保障金融系统各项工作正常运转，实现地方经济与金融的可持续协调发展，不断提高经济运行质量和区域综合竞争力。</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数量指标：推进金融改革项目数量</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14:textFill>
            <w14:solidFill>
              <w14:schemeClr w14:val="tx1"/>
            </w14:solidFill>
          </w14:textFill>
        </w:rPr>
        <w:t>个；按需求组织银企对接活动。</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质量指标：提高信贷资金使用效率，有效缓解企业融资难；不良贷款降比率达到省规定标准。</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成本指标：按采购政策执行，严控成本支出。</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经济效益指标：服务实体经济，缓解企业融资难。</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社会效益指标：防范和处置非法集资活动，确保案件处置达标。</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　　（五）专业性较强的名词解释</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金融生态环境：广义上的金融生态环境是指宏观层面的金融环境，指与金融业生存、发展具有互动关系的社会、自然因素的总和，包括政治、经济、文化、地理、人口等一切与金融业相互影响、相互作用的方面，主要强调金融运行的外部环境，是金融运行的一些基础条件；狭义上的金融生态环境是指微观层面的金融环境，包括法律制度、行政管理体制、社会诚信状况、会计与审计准则、中介服务体系、企业的发展状况及银企关系等方面的内容。金融生态环境是依照仿生学原理来发展建立金融体系的良性运作发展模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互联网金融：指传统金融机构与互联网企业利用互联网技术和信息通信技术实现资金融通、支付、投资和信息中介服务的新型金融业务模式。</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不良贷款率：指金融机构不良贷款占总贷款余额的比重。不良贷款是指在评估银行贷款</w:t>
      </w:r>
      <w:bookmarkStart w:id="0" w:name="_GoBack"/>
      <w:bookmarkEnd w:id="0"/>
      <w:r>
        <w:rPr>
          <w:rFonts w:hint="eastAsia" w:ascii="仿宋_GB2312" w:hAnsi="仿宋_GB2312" w:eastAsia="仿宋_GB2312" w:cs="仿宋_GB2312"/>
          <w:color w:val="000000" w:themeColor="text1"/>
          <w:sz w:val="32"/>
          <w:szCs w:val="32"/>
          <w14:textFill>
            <w14:solidFill>
              <w14:schemeClr w14:val="tx1"/>
            </w14:solidFill>
          </w14:textFill>
        </w:rPr>
        <w:t>质量时，把贷款按风险基础分为正常、关注、次级、可疑和损失五类，其中后三类合称为不良贷款。</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outlineLvl w:val="9"/>
        <w:rPr>
          <w:rFonts w:ascii="仿宋_GB2312" w:hAnsi="仿宋_GB2312" w:eastAsia="仿宋_GB2312" w:cs="仿宋_GB2312"/>
          <w:color w:val="000000" w:themeColor="text1"/>
          <w:sz w:val="32"/>
          <w:szCs w:val="32"/>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D8F"/>
    <w:rsid w:val="000234C3"/>
    <w:rsid w:val="000E4394"/>
    <w:rsid w:val="00171FE7"/>
    <w:rsid w:val="002E3347"/>
    <w:rsid w:val="0035460F"/>
    <w:rsid w:val="003E6A58"/>
    <w:rsid w:val="004B12EF"/>
    <w:rsid w:val="004B54D1"/>
    <w:rsid w:val="00514594"/>
    <w:rsid w:val="00675ED2"/>
    <w:rsid w:val="006A5F96"/>
    <w:rsid w:val="0075759F"/>
    <w:rsid w:val="007A09BF"/>
    <w:rsid w:val="00874DD8"/>
    <w:rsid w:val="009D5A28"/>
    <w:rsid w:val="00A00D8F"/>
    <w:rsid w:val="00B447C1"/>
    <w:rsid w:val="00BA743B"/>
    <w:rsid w:val="00CE6F17"/>
    <w:rsid w:val="0B3007D6"/>
    <w:rsid w:val="1B114F44"/>
    <w:rsid w:val="1C8F5665"/>
    <w:rsid w:val="1E666F4D"/>
    <w:rsid w:val="537275C6"/>
    <w:rsid w:val="5EC46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1"/>
    <w:unhideWhenUsed/>
    <w:qFormat/>
    <w:uiPriority w:val="99"/>
    <w:pPr>
      <w:ind w:firstLine="420" w:firstLineChars="1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6"/>
    <w:link w:val="4"/>
    <w:semiHidden/>
    <w:qFormat/>
    <w:uiPriority w:val="99"/>
    <w:rPr>
      <w:sz w:val="18"/>
      <w:szCs w:val="18"/>
    </w:rPr>
  </w:style>
  <w:style w:type="character" w:customStyle="1" w:styleId="9">
    <w:name w:val="页脚 字符"/>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21AB67-528B-4869-AD60-A64F06D40E43}">
  <ds:schemaRefs/>
</ds:datastoreItem>
</file>

<file path=docProps/app.xml><?xml version="1.0" encoding="utf-8"?>
<Properties xmlns="http://schemas.openxmlformats.org/officeDocument/2006/extended-properties" xmlns:vt="http://schemas.openxmlformats.org/officeDocument/2006/docPropsVTypes">
  <Template>Normal</Template>
  <Pages>11</Pages>
  <Words>714</Words>
  <Characters>4073</Characters>
  <Lines>33</Lines>
  <Paragraphs>9</Paragraphs>
  <ScaleCrop>false</ScaleCrop>
  <LinksUpToDate>false</LinksUpToDate>
  <CharactersWithSpaces>4778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2023-02-09T07:14:00Z</dcterms:created>
  <dc:creator>Lenovo</dc:creator>
  <cp:lastModifiedBy>Administrator</cp:lastModifiedBy>
  <dcterms:modified xsi:type="dcterms:W3CDTF">2023-02-14T05:00:10Z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