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600" w:lineRule="exact"/>
        <w:jc w:val="center"/>
        <w:rPr>
          <w:rFonts w:hint="eastAsia" w:ascii="方正小标宋简体" w:hAnsi="方正小标宋简体" w:eastAsia="方正小标宋简体" w:cs="方正小标宋简体"/>
          <w:sz w:val="40"/>
          <w:szCs w:val="40"/>
          <w:u w:val="none"/>
          <w:lang w:eastAsia="zh-CN"/>
        </w:rPr>
      </w:pPr>
      <w:r>
        <w:rPr>
          <w:rFonts w:hint="eastAsia" w:ascii="方正小标宋简体" w:hAnsi="方正小标宋简体" w:eastAsia="方正小标宋简体" w:cs="方正小标宋简体"/>
          <w:sz w:val="40"/>
          <w:szCs w:val="40"/>
          <w:u w:val="none"/>
          <w:lang w:eastAsia="zh-CN"/>
        </w:rPr>
        <w:t>鄂州市人民代表大会常务委员会办公室</w:t>
      </w:r>
    </w:p>
    <w:p>
      <w:pPr>
        <w:spacing w:after="312" w:afterLines="100"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w:t>
      </w:r>
      <w:r>
        <w:rPr>
          <w:rFonts w:hint="eastAsia" w:ascii="方正小标宋简体" w:hAnsi="方正小标宋简体" w:eastAsia="方正小标宋简体" w:cs="方正小标宋简体"/>
          <w:sz w:val="40"/>
          <w:szCs w:val="40"/>
          <w:lang w:val="en-US" w:eastAsia="zh-CN"/>
        </w:rPr>
        <w:t>23</w:t>
      </w:r>
      <w:r>
        <w:rPr>
          <w:rFonts w:hint="eastAsia" w:ascii="方正小标宋简体" w:hAnsi="方正小标宋简体" w:eastAsia="方正小标宋简体" w:cs="方正小标宋简体"/>
          <w:sz w:val="40"/>
          <w:szCs w:val="40"/>
        </w:rPr>
        <w:t>年部门预算公开说明</w:t>
      </w:r>
    </w:p>
    <w:p>
      <w:pPr>
        <w:keepNext w:val="0"/>
        <w:keepLines w:val="0"/>
        <w:widowControl/>
        <w:suppressLineNumbers w:val="0"/>
        <w:ind w:leftChars="200"/>
        <w:jc w:val="center"/>
        <w:rPr>
          <w:rFonts w:hint="eastAsia" w:ascii="仿宋_GB2312" w:hAnsi="仿宋_GB2312" w:eastAsia="仿宋_GB2312" w:cs="仿宋_GB2312"/>
          <w:color w:val="333333"/>
          <w:kern w:val="0"/>
          <w:sz w:val="32"/>
          <w:szCs w:val="32"/>
          <w:lang w:val="en-US" w:eastAsia="zh-CN" w:bidi="ar"/>
        </w:rPr>
      </w:pPr>
    </w:p>
    <w:p>
      <w:pPr>
        <w:keepNext w:val="0"/>
        <w:keepLines w:val="0"/>
        <w:widowControl/>
        <w:suppressLineNumbers w:val="0"/>
        <w:ind w:leftChars="200"/>
        <w:jc w:val="center"/>
        <w:rPr>
          <w:rFonts w:hint="eastAsia"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目录</w:t>
      </w:r>
    </w:p>
    <w:p>
      <w:pPr>
        <w:keepNext w:val="0"/>
        <w:keepLines w:val="0"/>
        <w:widowControl/>
        <w:suppressLineNumbers w:val="0"/>
        <w:ind w:left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一、部门主要职责</w:t>
      </w:r>
    </w:p>
    <w:p>
      <w:pPr>
        <w:keepNext w:val="0"/>
        <w:keepLines w:val="0"/>
        <w:widowControl/>
        <w:suppressLineNumbers w:val="0"/>
        <w:ind w:left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二、机构设置情况</w:t>
      </w:r>
    </w:p>
    <w:p>
      <w:pPr>
        <w:keepNext w:val="0"/>
        <w:keepLines w:val="0"/>
        <w:widowControl/>
        <w:suppressLineNumbers w:val="0"/>
        <w:ind w:left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三、预算收支安排及增减变化情况</w:t>
      </w:r>
    </w:p>
    <w:p>
      <w:pPr>
        <w:keepNext w:val="0"/>
        <w:keepLines w:val="0"/>
        <w:widowControl/>
        <w:suppressLineNumbers w:val="0"/>
        <w:ind w:left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四、机关运行经费安排情况</w:t>
      </w:r>
    </w:p>
    <w:p>
      <w:pPr>
        <w:keepNext w:val="0"/>
        <w:keepLines w:val="0"/>
        <w:widowControl/>
        <w:suppressLineNumbers w:val="0"/>
        <w:ind w:left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五、一般公共预算“三公”经费及增减变化情况</w:t>
      </w:r>
    </w:p>
    <w:p>
      <w:pPr>
        <w:keepNext w:val="0"/>
        <w:keepLines w:val="0"/>
        <w:widowControl/>
        <w:suppressLineNumbers w:val="0"/>
        <w:ind w:left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六、政府采购预算安排情况</w:t>
      </w:r>
    </w:p>
    <w:p>
      <w:pPr>
        <w:keepNext w:val="0"/>
        <w:keepLines w:val="0"/>
        <w:widowControl/>
        <w:suppressLineNumbers w:val="0"/>
        <w:ind w:left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七、国有资产占用情况</w:t>
      </w:r>
    </w:p>
    <w:p>
      <w:pPr>
        <w:keepNext w:val="0"/>
        <w:keepLines w:val="0"/>
        <w:widowControl/>
        <w:suppressLineNumbers w:val="0"/>
        <w:ind w:left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八、重点项目预算绩效情况</w:t>
      </w:r>
    </w:p>
    <w:p>
      <w:pPr>
        <w:keepNext w:val="0"/>
        <w:keepLines w:val="0"/>
        <w:widowControl/>
        <w:suppressLineNumbers w:val="0"/>
        <w:ind w:left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九、其他需要说明的情况</w:t>
      </w:r>
    </w:p>
    <w:p>
      <w:pPr>
        <w:keepNext w:val="0"/>
        <w:keepLines w:val="0"/>
        <w:widowControl/>
        <w:suppressLineNumbers w:val="0"/>
        <w:ind w:left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十、专业名词解释</w:t>
      </w:r>
    </w:p>
    <w:p>
      <w:pPr>
        <w:spacing w:line="620" w:lineRule="exact"/>
        <w:ind w:firstLine="640" w:firstLineChars="200"/>
        <w:rPr>
          <w:rFonts w:hint="eastAsia" w:ascii="黑体" w:hAnsi="黑体" w:eastAsia="黑体" w:cs="黑体"/>
          <w:sz w:val="32"/>
          <w:szCs w:val="32"/>
        </w:rPr>
      </w:pPr>
    </w:p>
    <w:p>
      <w:pPr>
        <w:spacing w:line="620" w:lineRule="exact"/>
        <w:ind w:firstLine="640" w:firstLineChars="200"/>
        <w:rPr>
          <w:rFonts w:hint="eastAsia" w:ascii="仿宋_GB2312" w:hAnsi="仿宋_GB2312" w:eastAsia="仿宋_GB2312"/>
          <w:sz w:val="32"/>
          <w:szCs w:val="32"/>
          <w:lang w:eastAsia="zh-CN"/>
        </w:rPr>
      </w:pPr>
      <w:r>
        <w:rPr>
          <w:rFonts w:hint="eastAsia" w:ascii="黑体" w:hAnsi="黑体" w:eastAsia="黑体" w:cs="黑体"/>
          <w:sz w:val="32"/>
          <w:szCs w:val="32"/>
        </w:rPr>
        <w:t>一、部门主要职</w:t>
      </w:r>
      <w:r>
        <w:rPr>
          <w:rFonts w:hint="eastAsia" w:ascii="黑体" w:hAnsi="黑体" w:eastAsia="黑体" w:cs="黑体"/>
          <w:sz w:val="32"/>
          <w:szCs w:val="32"/>
          <w:lang w:eastAsia="zh-CN"/>
        </w:rPr>
        <w:t>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1、负责市人民代表大会会议、常委会会议、主任会议和常委会机关召开的多项会议的会务工作；负责常委会开展执法检查、调查研究、视察服务工作。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各专门委员会拟订各专门委员会的议案草案；审议市人大及其常委会交付的议案和代表的建议，提出处理意见；组织有关单位和人员座谈，对上级人大及其常委会拟订的法律、法规草案进行讨论，提出修改意见。围绕市人大及其常委会审议的议题和专门委员会的职责，开展调查研究，拟订执法检查计划，做好专门委员会视察、检查的有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协助安排市人大代表和在市的全国人大代表和省人大代表的视察等活动，了解和掌握代表在闭会期间开展活动的情况，总结代表在闭会期间开展活动和发挥代表作用的经验，帮助解决代表活动中的问题，督促有关单位办理市人大代表提出的议案和建议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4、承办市人大代表和我市的省人大代表的换届选举、补选、罢免的有关工作和市人大代表资格审查的具体工作。负责常委会人事任免的具体工作。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5、负责提出五年立法工作规划草案稿和年度立法工作计划草案；负责统一审议地方性法规草案，提出审议结果的报告和草案修改稿、建议表决稿；负责立法调研，起草有关地方性法规草案；拟订法规草案修改稿和建议表决稿；负责地方性法规汇编等工作；负责法规清理等工作；负责开展立法宣传等工作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6、对市级预算和决算以及市直部门预算进行审查监督。对市级国有资产管理情况进行监督。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7、围绕民主与法制建设和人民代表大会制度、人大工作开展理论研究，提供调查报告、研究报告及有关资料。负责市人大常委会工作报告、有关文件起草工作。组织市人大及其常委会的宣传工作，编辑、编印市人大常委会《公报》、《鄂州人大》等内部刊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8、负责落实市委、市政府各项中心工作，完成年度目标任务。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9、办理市人大常委会领导交办的其他事项。</w:t>
      </w:r>
    </w:p>
    <w:p>
      <w:pPr>
        <w:spacing w:line="620" w:lineRule="exact"/>
        <w:ind w:firstLine="640" w:firstLineChars="200"/>
        <w:rPr>
          <w:rFonts w:hint="eastAsia" w:ascii="仿宋_GB2312" w:hAnsi="仿宋_GB2312" w:eastAsia="仿宋_GB2312" w:cs="仿宋_GB2312"/>
          <w:color w:val="333333"/>
          <w:kern w:val="0"/>
          <w:sz w:val="32"/>
          <w:szCs w:val="32"/>
          <w:lang w:val="en-US" w:eastAsia="zh-CN" w:bidi="ar"/>
        </w:rPr>
      </w:pPr>
      <w:r>
        <w:rPr>
          <w:rFonts w:hint="eastAsia" w:ascii="黑体" w:hAnsi="黑体" w:eastAsia="黑体" w:cs="黑体"/>
          <w:sz w:val="32"/>
          <w:szCs w:val="32"/>
          <w:lang w:val="en-US" w:eastAsia="zh-CN"/>
        </w:rPr>
        <w:t>二、机构设置情况</w:t>
      </w:r>
    </w:p>
    <w:p>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大依法设立7个专门委员会。分别为法制委员会、监察与司法委员会、社会建设委员会、财政经济委员会、教育科学文化卫生委员会（民族宗教侨务外事委员会）、农村委员会、城乡建设与环境资源保护委员会。市人大机关内设机构：市人大常委会办公室、市人大常委会研究室、市人大常委会代表人事任免工作委员会、市人大常委会预算工作委员会、市人大常委会法制工作委员会。</w:t>
      </w:r>
    </w:p>
    <w:p>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年度部门预算由市人大常委会办公室统一编报，对市人大及其常委会依法履行职责进行基本经费保障。</w:t>
      </w:r>
    </w:p>
    <w:p>
      <w:pPr>
        <w:spacing w:line="62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val="en-US" w:eastAsia="zh-CN"/>
        </w:rPr>
        <w:t>三、预算收支安排及增减变化情况</w:t>
      </w:r>
    </w:p>
    <w:p>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收入情况：2023年本年收入预计为2273.30万元，比上年增加30.99万元,增长1.38%。其中，一般公共预算财政拨款收入2273.30万元，政府性基金预算财政拨款收入0万元，国有资本经营预算财政拨款收入0万，财政专户管理资金收入0万，上年结余结转收入0万，其他收入0万元。</w:t>
      </w:r>
    </w:p>
    <w:p>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收入增加原因：主要是</w:t>
      </w:r>
      <w:r>
        <w:rPr>
          <w:rFonts w:hint="default" w:ascii="仿宋_GB2312" w:hAnsi="仿宋_GB2312" w:eastAsia="仿宋_GB2312" w:cs="仿宋_GB2312"/>
          <w:sz w:val="32"/>
          <w:szCs w:val="32"/>
          <w:lang w:val="en" w:eastAsia="zh-CN"/>
        </w:rPr>
        <w:t>特定目标类项目费用</w:t>
      </w:r>
      <w:r>
        <w:rPr>
          <w:rFonts w:hint="eastAsia" w:ascii="仿宋_GB2312" w:hAnsi="仿宋_GB2312" w:eastAsia="仿宋_GB2312" w:cs="仿宋_GB2312"/>
          <w:sz w:val="32"/>
          <w:szCs w:val="32"/>
          <w:lang w:val="en-US" w:eastAsia="zh-CN"/>
        </w:rPr>
        <w:t>增加。</w:t>
      </w:r>
    </w:p>
    <w:p>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2、预算支出情况：2023年本年支出2273.3万元，比上年增加30.99万元，增长1.38 % 。其中：基本支出1889.50万元，占总支出的83.12%；项目支出383.8万元，占总支出的16.88%。本年支出构成为：一般公共服务支出1646.96万元，占本年支出的72.45%；社会保障和就业支出370.84万元，占本年支出的16.31%；医疗卫生支出137.23万元，占本年支出的6.04%；住房保障支出118.27万元，占本年支出的5.20%。</w:t>
      </w:r>
    </w:p>
    <w:p>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支出增加原因：主要</w:t>
      </w:r>
      <w:bookmarkStart w:id="0" w:name="_GoBack"/>
      <w:bookmarkEnd w:id="0"/>
      <w:r>
        <w:rPr>
          <w:rFonts w:hint="eastAsia" w:ascii="仿宋_GB2312" w:hAnsi="仿宋_GB2312" w:eastAsia="仿宋_GB2312" w:cs="仿宋_GB2312"/>
          <w:sz w:val="32"/>
          <w:szCs w:val="32"/>
          <w:lang w:val="en-US" w:eastAsia="zh-CN"/>
        </w:rPr>
        <w:t>是</w:t>
      </w:r>
      <w:r>
        <w:rPr>
          <w:rFonts w:hint="default" w:ascii="仿宋_GB2312" w:hAnsi="仿宋_GB2312" w:eastAsia="仿宋_GB2312" w:cs="仿宋_GB2312"/>
          <w:sz w:val="32"/>
          <w:szCs w:val="32"/>
          <w:lang w:val="en" w:eastAsia="zh-CN"/>
        </w:rPr>
        <w:t>特定目标类项目</w:t>
      </w:r>
      <w:r>
        <w:rPr>
          <w:rFonts w:hint="eastAsia" w:ascii="仿宋_GB2312" w:hAnsi="仿宋_GB2312" w:eastAsia="仿宋_GB2312" w:cs="仿宋_GB2312"/>
          <w:sz w:val="32"/>
          <w:szCs w:val="32"/>
          <w:lang w:val="en" w:eastAsia="zh-CN"/>
        </w:rPr>
        <w:t>支出</w:t>
      </w:r>
      <w:r>
        <w:rPr>
          <w:rFonts w:hint="eastAsia" w:ascii="仿宋_GB2312" w:hAnsi="仿宋_GB2312" w:eastAsia="仿宋_GB2312" w:cs="仿宋_GB2312"/>
          <w:sz w:val="32"/>
          <w:szCs w:val="32"/>
          <w:lang w:val="en-US" w:eastAsia="zh-CN"/>
        </w:rPr>
        <w:t>增加。</w:t>
      </w:r>
    </w:p>
    <w:p>
      <w:pPr>
        <w:keepNext w:val="0"/>
        <w:keepLines w:val="0"/>
        <w:widowControl/>
        <w:suppressLineNumbers w:val="0"/>
        <w:ind w:leftChars="200" w:firstLine="320" w:firstLineChars="1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四、机关运行经费安排情况</w:t>
      </w:r>
    </w:p>
    <w:p>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2023年机关运行经费预算总额为277.54万元，与上年相比减少0.43万元，下降0.15%。减少原因主要是压减一般性开支。其中，办公费35.52万元，印刷费3.1万元，水费  1万元，电费4.7万元，邮电费4万元，物业管理费3万元，差旅费4.5万元，因公出国(境)费用0万元，维修(护)费5万元，会议费1.5万元，培训费1万元，公务接待费1.08万元，劳务费7.5万元，工会经费19.71万元，福利费72.66万元，公务用车运行维护费0万元，其他交通费63.51万元，其他商品和服务支出41.18万元，办公设备购置费8.58万元。</w:t>
      </w:r>
    </w:p>
    <w:p>
      <w:pPr>
        <w:keepNext w:val="0"/>
        <w:keepLines w:val="0"/>
        <w:widowControl/>
        <w:suppressLineNumbers w:val="0"/>
        <w:ind w:firstLine="640" w:firstLine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五、一般公共预算“三公”经费及增减变化情况</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2023年“三公”经费一般公共预算总额1.08万元，与上年预算相比无变化。分别如下： </w:t>
      </w:r>
    </w:p>
    <w:p>
      <w:pPr>
        <w:keepNext w:val="0"/>
        <w:keepLines w:val="0"/>
        <w:widowControl/>
        <w:suppressLineNumbers w:val="0"/>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2"/>
          <w:szCs w:val="32"/>
          <w:lang w:val="en-US" w:eastAsia="zh-CN" w:bidi="ar"/>
        </w:rPr>
        <w:t>1.公务接待费</w:t>
      </w:r>
      <w:r>
        <w:rPr>
          <w:rFonts w:hint="eastAsia" w:ascii="仿宋_GB2312" w:hAnsi="仿宋_GB2312" w:cs="仿宋_GB2312"/>
          <w:color w:val="000000"/>
          <w:kern w:val="0"/>
          <w:sz w:val="32"/>
          <w:szCs w:val="32"/>
          <w:lang w:val="en-US" w:eastAsia="zh-CN" w:bidi="ar"/>
        </w:rPr>
        <w:t>1.08</w:t>
      </w:r>
      <w:r>
        <w:rPr>
          <w:rFonts w:hint="eastAsia" w:ascii="仿宋_GB2312" w:hAnsi="仿宋_GB2312" w:eastAsia="仿宋_GB2312" w:cs="仿宋_GB2312"/>
          <w:color w:val="000000"/>
          <w:kern w:val="0"/>
          <w:sz w:val="32"/>
          <w:szCs w:val="32"/>
          <w:lang w:val="en-US" w:eastAsia="zh-CN" w:bidi="ar"/>
        </w:rPr>
        <w:t>万元，与上年预算相比无变化。主要原因是坚持过紧日子的要求，不增加公务接待费用。</w:t>
      </w:r>
    </w:p>
    <w:p>
      <w:pPr>
        <w:keepNext w:val="0"/>
        <w:keepLines w:val="0"/>
        <w:widowControl/>
        <w:suppressLineNumbers w:val="0"/>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2"/>
          <w:szCs w:val="32"/>
          <w:lang w:val="en-US" w:eastAsia="zh-CN" w:bidi="ar"/>
        </w:rPr>
        <w:t>2.公务用车购置及运行费</w:t>
      </w:r>
      <w:r>
        <w:rPr>
          <w:rFonts w:hint="eastAsia" w:ascii="仿宋_GB2312" w:hAnsi="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val="en-US" w:eastAsia="zh-CN" w:bidi="ar"/>
        </w:rPr>
        <w:t>万元，与上年预算相比无变化。主要原因是公务用车统一交由机关服务中心管理。</w:t>
      </w:r>
    </w:p>
    <w:p>
      <w:pPr>
        <w:keepNext w:val="0"/>
        <w:keepLines w:val="0"/>
        <w:widowControl/>
        <w:suppressLineNumbers w:val="0"/>
        <w:ind w:left="0" w:lef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3.因公出国出（境）费0万元，与上年预算相比无变化。主要原因是坚持过紧日子的要求，不安排此项支出。</w:t>
      </w:r>
    </w:p>
    <w:p>
      <w:pPr>
        <w:keepNext w:val="0"/>
        <w:keepLines w:val="0"/>
        <w:widowControl/>
        <w:suppressLineNumbers w:val="0"/>
        <w:ind w:leftChars="200" w:firstLine="320" w:firstLineChars="1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六、政府采购预算安排情况</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政府采购相关法律法规要求，2023年我部门编制政府采购预算150.03万元，比上年度增长10.93 %，预算增加主要原因一是根据政府采购工作要求，做到应编尽编；二是增加相应项目预算的政府采购金额。其中：货物类政府采购预算5.93万元，主要是购置电脑、打印机等办公设备支出；服务类政府采购预算144.10万元，主要是会议服务、审计服务、印刷费等。</w:t>
      </w:r>
    </w:p>
    <w:p>
      <w:pPr>
        <w:keepNext w:val="0"/>
        <w:keepLines w:val="0"/>
        <w:widowControl/>
        <w:suppressLineNumbers w:val="0"/>
        <w:ind w:leftChars="200" w:firstLine="320" w:firstLineChars="1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七、国有资产占用情况</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本单位办公房屋由市机关事务管理局统一调配。</w:t>
      </w:r>
      <w:r>
        <w:rPr>
          <w:rFonts w:hint="eastAsia" w:ascii="仿宋_GB2312" w:hAnsi="仿宋_GB2312" w:eastAsia="仿宋_GB2312" w:cs="仿宋_GB2312"/>
          <w:sz w:val="32"/>
          <w:szCs w:val="32"/>
          <w:lang w:val="en-US" w:eastAsia="zh-CN"/>
        </w:rPr>
        <w:t>无单价50万元以上的通用设备与专用设备。</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预计2023年本部门新增资产主要是空调、电脑、打印机等。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2023年本部门计划处置资产主要是空调、电脑、打印机等。</w:t>
      </w:r>
    </w:p>
    <w:p>
      <w:pPr>
        <w:keepNext w:val="0"/>
        <w:keepLines w:val="0"/>
        <w:widowControl/>
        <w:suppressLineNumbers w:val="0"/>
        <w:ind w:leftChars="200" w:firstLine="320" w:firstLineChars="1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八、重点项目预算绩效情况</w:t>
      </w:r>
    </w:p>
    <w:p>
      <w:pPr>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年部门项目均实行绩效目标管理</w:t>
      </w:r>
      <w:r>
        <w:rPr>
          <w:rFonts w:hint="eastAsia" w:ascii="仿宋_GB2312" w:hAnsi="仿宋_GB2312" w:eastAsia="仿宋_GB2312" w:cs="仿宋_GB2312"/>
          <w:sz w:val="32"/>
          <w:szCs w:val="32"/>
          <w:lang w:eastAsia="zh-CN"/>
        </w:rPr>
        <w:t>。总体绩效目标为：</w:t>
      </w:r>
      <w:r>
        <w:rPr>
          <w:rFonts w:hint="eastAsia" w:ascii="仿宋_GB2312" w:hAnsi="仿宋_GB2312" w:eastAsia="仿宋_GB2312" w:cs="仿宋_GB2312"/>
          <w:sz w:val="32"/>
          <w:szCs w:val="32"/>
        </w:rPr>
        <w:t>保障国家法律、法规的贯彻实施，促进全市经济、社会事业全面发展。组织代表活动，提高代表素质，更好发挥代表作用；设置代表专线，化解矛盾纠纷、维护社会稳定、为民办实事。开展代表集中培训，提高代表履职能力，提高议政水平。通过制定地方性法规，运用立法手段解决鄂州市发展的问题，促进鄂州经济社会发展。加强预算审查与监督，继续深化财税体制改革，创新资金分配方式，推进绩效预算管理，切实强化财政资金的有效分配。大力宣传人民代表大会制度,通过宣传让人民代表大会制度深入人心。根据省人大常委会的统一安排部署，围绕活动主题开展乡村振兴荆楚行活动，助力我市乡村振兴战略的实施。</w:t>
      </w:r>
      <w:r>
        <w:rPr>
          <w:rFonts w:hint="eastAsia" w:ascii="仿宋_GB2312" w:hAnsi="仿宋_GB2312" w:eastAsia="仿宋_GB2312" w:cs="仿宋_GB2312"/>
          <w:sz w:val="32"/>
          <w:szCs w:val="32"/>
          <w:lang w:eastAsia="zh-CN"/>
        </w:rPr>
        <w:t>提升常委会专门委员会</w:t>
      </w:r>
      <w:r>
        <w:rPr>
          <w:rFonts w:hint="eastAsia" w:ascii="仿宋_GB2312" w:hAnsi="仿宋_GB2312" w:eastAsia="仿宋_GB2312" w:cs="仿宋_GB2312"/>
          <w:sz w:val="32"/>
          <w:szCs w:val="32"/>
          <w:lang w:val="en-US" w:eastAsia="zh-CN"/>
        </w:rPr>
        <w:t>组成人员及工作人员的履职能力和业务水平。</w:t>
      </w:r>
    </w:p>
    <w:p>
      <w:pPr>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项目为：人大代表活动62万元(市级经费拨款54万元、上级经费拨款8万元)。该项目总体绩效目标为组织代表活动，提高代表素质，更好发挥代表作用；设置代表专线，化解矛盾纠纷、维护社会稳定、为民办实事。具体绩效指标为：组织全市284名人大代表联系群众、参加代表小组活动、视察考察调研，召开代表工作联系会、政情通报会等。加强基层人大代表之家、人大代表活动室等。定期开通代表专线，搭建代表与人民群众联系平台。通过开展代表活动，有效提升代表履职能力，不断提高代表参政议政水平，为群众排忧解难，解决急难愁盼问题。</w:t>
      </w:r>
    </w:p>
    <w:p>
      <w:pPr>
        <w:keepNext w:val="0"/>
        <w:keepLines w:val="0"/>
        <w:widowControl/>
        <w:suppressLineNumbers w:val="0"/>
        <w:ind w:leftChars="200" w:firstLine="320" w:firstLineChars="1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九、其他需要说明的情况</w:t>
      </w:r>
    </w:p>
    <w:p>
      <w:pPr>
        <w:keepNext w:val="0"/>
        <w:keepLines w:val="0"/>
        <w:widowControl/>
        <w:suppressLineNumbers w:val="0"/>
        <w:ind w:leftChars="200" w:firstLine="320" w:firstLineChars="100"/>
        <w:jc w:val="left"/>
        <w:rPr>
          <w:rFonts w:hint="eastAsia" w:ascii="黑体" w:hAnsi="黑体" w:eastAsia="黑体" w:cs="黑体"/>
          <w:color w:val="333333"/>
          <w:kern w:val="0"/>
          <w:sz w:val="32"/>
          <w:szCs w:val="32"/>
          <w:lang w:val="en-US" w:eastAsia="zh-CN" w:bidi="ar"/>
        </w:rPr>
      </w:pPr>
      <w:r>
        <w:rPr>
          <w:rFonts w:hint="eastAsia" w:ascii="仿宋_GB2312" w:hAnsi="仿宋_GB2312" w:eastAsia="仿宋_GB2312" w:cs="仿宋_GB2312"/>
          <w:sz w:val="32"/>
          <w:szCs w:val="32"/>
          <w:lang w:val="en-US" w:eastAsia="zh-CN"/>
        </w:rPr>
        <w:t>本部门没有政府性基金收入及支出。</w:t>
      </w:r>
    </w:p>
    <w:p>
      <w:pPr>
        <w:keepNext w:val="0"/>
        <w:keepLines w:val="0"/>
        <w:widowControl/>
        <w:suppressLineNumbers w:val="0"/>
        <w:ind w:leftChars="200" w:firstLine="320" w:firstLineChars="1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十、专业性较强的名词解释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宋体" w:eastAsia="仿宋_GB2312" w:cs="宋体"/>
          <w:kern w:val="0"/>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宋体" w:eastAsia="仿宋_GB2312" w:cs="宋体"/>
          <w:kern w:val="0"/>
          <w:sz w:val="32"/>
          <w:szCs w:val="32"/>
          <w:lang w:val="en-US" w:eastAsia="zh-CN" w:bidi="ar-SA"/>
        </w:rPr>
        <w:t xml:space="preserve">  人大会议：反映市人大召开的各类会议项目的支出，包括：市人民代表大会、常委会等专门会议的支出。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　　人大立法：反映市人大及其常委会依法行使立法权，开展立法工作进行的法规起草、调研、认证、审议、评估、清理、公布及宣传及规范性文件备案审查等方面的支出。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　　人大监督：反映市人大及其常委会为依法行使监督权，开展监督工作进行的调研、视察、考察等方面的支出。包括：调研执法检查、预算审查等方面的支出。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　　人大代表履职能力提升：为提高代表履职能力所发生的各项支出。包括代表培训等方面的支出。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　　代表工作：反映依法保障人大代表闭会期间的活动开支。包括：代表活动、代表专线等方面的支出。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　　其他人大事务支出：包括编印《鄂州人大》、人大制度宣传、人大网站等方面的支出。</w:t>
      </w:r>
    </w:p>
    <w:sectPr>
      <w:footerReference r:id="rId3" w:type="default"/>
      <w:pgSz w:w="11906" w:h="16838"/>
      <w:pgMar w:top="1270" w:right="1800" w:bottom="127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9A3"/>
    <w:rsid w:val="000959A3"/>
    <w:rsid w:val="00594C1A"/>
    <w:rsid w:val="00732F99"/>
    <w:rsid w:val="007F02C9"/>
    <w:rsid w:val="00EA3BF7"/>
    <w:rsid w:val="00F1621E"/>
    <w:rsid w:val="023B1235"/>
    <w:rsid w:val="07162A5B"/>
    <w:rsid w:val="07687D57"/>
    <w:rsid w:val="0A235BB5"/>
    <w:rsid w:val="0B171FB3"/>
    <w:rsid w:val="0BB04F6E"/>
    <w:rsid w:val="0F1A12CD"/>
    <w:rsid w:val="0F22008D"/>
    <w:rsid w:val="0F7409FC"/>
    <w:rsid w:val="124F7C1A"/>
    <w:rsid w:val="144921A9"/>
    <w:rsid w:val="15FDEA0E"/>
    <w:rsid w:val="188660D4"/>
    <w:rsid w:val="18C646FB"/>
    <w:rsid w:val="196F3232"/>
    <w:rsid w:val="1F3EF7AB"/>
    <w:rsid w:val="1FCF3248"/>
    <w:rsid w:val="1FFD42D3"/>
    <w:rsid w:val="23C2155F"/>
    <w:rsid w:val="255473FE"/>
    <w:rsid w:val="26EF01C1"/>
    <w:rsid w:val="271C32E9"/>
    <w:rsid w:val="28E215D0"/>
    <w:rsid w:val="2BD33FA6"/>
    <w:rsid w:val="332839AA"/>
    <w:rsid w:val="391B3FFF"/>
    <w:rsid w:val="3BA22A15"/>
    <w:rsid w:val="3E791718"/>
    <w:rsid w:val="3FA71115"/>
    <w:rsid w:val="406F24E7"/>
    <w:rsid w:val="41D51E1A"/>
    <w:rsid w:val="445E48CE"/>
    <w:rsid w:val="4493276F"/>
    <w:rsid w:val="451C078E"/>
    <w:rsid w:val="45E54938"/>
    <w:rsid w:val="47A0241A"/>
    <w:rsid w:val="490C3DEC"/>
    <w:rsid w:val="495E0D96"/>
    <w:rsid w:val="4A446F55"/>
    <w:rsid w:val="4B1A4A27"/>
    <w:rsid w:val="4B532AEC"/>
    <w:rsid w:val="4F6D6E9E"/>
    <w:rsid w:val="52097DB3"/>
    <w:rsid w:val="5327107F"/>
    <w:rsid w:val="534C53C6"/>
    <w:rsid w:val="53897DDE"/>
    <w:rsid w:val="539A7911"/>
    <w:rsid w:val="561341B1"/>
    <w:rsid w:val="56E7421D"/>
    <w:rsid w:val="594362B3"/>
    <w:rsid w:val="5B79227D"/>
    <w:rsid w:val="5BA58E3B"/>
    <w:rsid w:val="5D1002DB"/>
    <w:rsid w:val="5EAC7B4C"/>
    <w:rsid w:val="5FD12BA1"/>
    <w:rsid w:val="63AE38A3"/>
    <w:rsid w:val="66FB4D85"/>
    <w:rsid w:val="673D5AD3"/>
    <w:rsid w:val="68296E34"/>
    <w:rsid w:val="68D946D6"/>
    <w:rsid w:val="699B11EC"/>
    <w:rsid w:val="69D93DA1"/>
    <w:rsid w:val="6A3D1672"/>
    <w:rsid w:val="6C270932"/>
    <w:rsid w:val="6C823C2F"/>
    <w:rsid w:val="6C827BF9"/>
    <w:rsid w:val="6D9F257B"/>
    <w:rsid w:val="6E0710F3"/>
    <w:rsid w:val="6E1D73CE"/>
    <w:rsid w:val="6E75E9F8"/>
    <w:rsid w:val="6E99785F"/>
    <w:rsid w:val="6EFF35E0"/>
    <w:rsid w:val="71E60293"/>
    <w:rsid w:val="738B011C"/>
    <w:rsid w:val="74585156"/>
    <w:rsid w:val="74877A15"/>
    <w:rsid w:val="755FF921"/>
    <w:rsid w:val="76EE7B69"/>
    <w:rsid w:val="76FFED93"/>
    <w:rsid w:val="77EF864B"/>
    <w:rsid w:val="78702188"/>
    <w:rsid w:val="792C3FCD"/>
    <w:rsid w:val="798C2D01"/>
    <w:rsid w:val="7BDB5225"/>
    <w:rsid w:val="7CFC4F99"/>
    <w:rsid w:val="7D2B5460"/>
    <w:rsid w:val="7EABFC91"/>
    <w:rsid w:val="7FC200CA"/>
    <w:rsid w:val="7FEA2462"/>
    <w:rsid w:val="7FF72E53"/>
    <w:rsid w:val="9FFF2C81"/>
    <w:rsid w:val="B3FCB8EE"/>
    <w:rsid w:val="BDBFDB14"/>
    <w:rsid w:val="BECFE5DA"/>
    <w:rsid w:val="BFC66467"/>
    <w:rsid w:val="BFDBC6CB"/>
    <w:rsid w:val="CFFB7E0D"/>
    <w:rsid w:val="D7F7B881"/>
    <w:rsid w:val="D7FF63F4"/>
    <w:rsid w:val="DD8E01E6"/>
    <w:rsid w:val="DFE7AEF2"/>
    <w:rsid w:val="E4F7D4B9"/>
    <w:rsid w:val="E56ED260"/>
    <w:rsid w:val="E7EB5277"/>
    <w:rsid w:val="EF9326E4"/>
    <w:rsid w:val="F1AF60D2"/>
    <w:rsid w:val="F5FFA166"/>
    <w:rsid w:val="F7D9A6E2"/>
    <w:rsid w:val="F9FF1867"/>
    <w:rsid w:val="FAFEDAE2"/>
    <w:rsid w:val="FBF797E7"/>
    <w:rsid w:val="FBF8E6ED"/>
    <w:rsid w:val="FD36F97E"/>
    <w:rsid w:val="FDA33E0B"/>
    <w:rsid w:val="FDFD4626"/>
    <w:rsid w:val="FF7C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qFormat/>
    <w:uiPriority w:val="0"/>
    <w:pPr>
      <w:ind w:firstLine="420" w:firstLineChars="200"/>
    </w:pPr>
  </w:style>
  <w:style w:type="character" w:styleId="9">
    <w:name w:val="FollowedHyperlink"/>
    <w:basedOn w:val="8"/>
    <w:qFormat/>
    <w:uiPriority w:val="0"/>
    <w:rPr>
      <w:color w:val="363636"/>
      <w:u w:val="none"/>
    </w:rPr>
  </w:style>
  <w:style w:type="character" w:styleId="10">
    <w:name w:val="Hyperlink"/>
    <w:basedOn w:val="8"/>
    <w:qFormat/>
    <w:uiPriority w:val="0"/>
    <w:rPr>
      <w:color w:val="363636"/>
      <w:u w:val="none"/>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209</Words>
  <Characters>1197</Characters>
  <Lines>9</Lines>
  <Paragraphs>2</Paragraphs>
  <TotalTime>10</TotalTime>
  <ScaleCrop>false</ScaleCrop>
  <LinksUpToDate>false</LinksUpToDate>
  <CharactersWithSpaces>1404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inspur</cp:lastModifiedBy>
  <cp:lastPrinted>2023-02-10T01:09:00Z</cp:lastPrinted>
  <dcterms:modified xsi:type="dcterms:W3CDTF">2023-02-09T18:16:55Z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B010852A89404A889AF93197D1DB6D38</vt:lpwstr>
  </property>
</Properties>
</file>